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64" w:rsidRDefault="00E16D64">
      <w:pPr>
        <w:bidi/>
      </w:pPr>
    </w:p>
    <w:tbl>
      <w:tblPr>
        <w:tblStyle w:val="TableGrid"/>
        <w:tblpPr w:leftFromText="180" w:rightFromText="180" w:horzAnchor="margin" w:tblpXSpec="right" w:tblpY="840"/>
        <w:bidiVisual/>
        <w:tblW w:w="4942" w:type="pct"/>
        <w:tblLayout w:type="fixed"/>
        <w:tblLook w:val="04A0" w:firstRow="1" w:lastRow="0" w:firstColumn="1" w:lastColumn="0" w:noHBand="0" w:noVBand="1"/>
      </w:tblPr>
      <w:tblGrid>
        <w:gridCol w:w="725"/>
        <w:gridCol w:w="2558"/>
        <w:gridCol w:w="893"/>
        <w:gridCol w:w="928"/>
        <w:gridCol w:w="934"/>
        <w:gridCol w:w="1082"/>
        <w:gridCol w:w="1021"/>
        <w:gridCol w:w="994"/>
      </w:tblGrid>
      <w:tr w:rsidR="00E16D64" w:rsidRPr="00FC3477" w:rsidTr="00E16D64">
        <w:trPr>
          <w:trHeight w:val="1266"/>
        </w:trPr>
        <w:tc>
          <w:tcPr>
            <w:tcW w:w="5000" w:type="pct"/>
            <w:gridSpan w:val="8"/>
          </w:tcPr>
          <w:p w:rsidR="00E16D64" w:rsidRDefault="00E16D64" w:rsidP="00E16D64">
            <w:pPr>
              <w:bidi/>
              <w:jc w:val="center"/>
              <w:rPr>
                <w:rFonts w:ascii="Times New Roman" w:hAnsi="Times New Roman" w:cs="Times New Roman"/>
                <w:b/>
                <w:bCs/>
                <w:color w:val="FF0000"/>
                <w:sz w:val="36"/>
                <w:szCs w:val="36"/>
              </w:rPr>
            </w:pPr>
          </w:p>
          <w:p w:rsidR="00E16D64" w:rsidRPr="00E16D64" w:rsidRDefault="00E16D64" w:rsidP="00E16D64">
            <w:pPr>
              <w:bidi/>
              <w:jc w:val="center"/>
              <w:rPr>
                <w:rFonts w:ascii="Times New Roman" w:hAnsi="Times New Roman" w:cs="Times New Roman"/>
                <w:b/>
                <w:bCs/>
                <w:color w:val="FF0000"/>
                <w:sz w:val="36"/>
                <w:szCs w:val="36"/>
                <w:rtl/>
              </w:rPr>
            </w:pPr>
            <w:r w:rsidRPr="00E16D64">
              <w:rPr>
                <w:rFonts w:ascii="Times New Roman" w:hAnsi="Times New Roman" w:cs="Times New Roman" w:hint="cs"/>
                <w:b/>
                <w:bCs/>
                <w:color w:val="FF0000"/>
                <w:sz w:val="36"/>
                <w:szCs w:val="36"/>
                <w:rtl/>
              </w:rPr>
              <w:t>طرحها</w:t>
            </w:r>
            <w:bookmarkStart w:id="0" w:name="_GoBack"/>
            <w:bookmarkEnd w:id="0"/>
            <w:r w:rsidRPr="00E16D64">
              <w:rPr>
                <w:rFonts w:ascii="Times New Roman" w:hAnsi="Times New Roman" w:cs="Times New Roman" w:hint="cs"/>
                <w:b/>
                <w:bCs/>
                <w:color w:val="FF0000"/>
                <w:sz w:val="36"/>
                <w:szCs w:val="36"/>
                <w:rtl/>
              </w:rPr>
              <w:t>ی</w:t>
            </w:r>
            <w:r w:rsidRPr="00E16D64">
              <w:rPr>
                <w:rFonts w:ascii="Times New Roman" w:hAnsi="Times New Roman" w:cs="Times New Roman"/>
                <w:b/>
                <w:bCs/>
                <w:color w:val="FF0000"/>
                <w:sz w:val="36"/>
                <w:szCs w:val="36"/>
                <w:rtl/>
              </w:rPr>
              <w:t xml:space="preserve"> </w:t>
            </w:r>
            <w:r w:rsidRPr="00E16D64">
              <w:rPr>
                <w:rFonts w:ascii="Times New Roman" w:hAnsi="Times New Roman" w:cs="Times New Roman" w:hint="cs"/>
                <w:b/>
                <w:bCs/>
                <w:color w:val="FF0000"/>
                <w:sz w:val="36"/>
                <w:szCs w:val="36"/>
                <w:rtl/>
              </w:rPr>
              <w:t>مصوب</w:t>
            </w:r>
            <w:r w:rsidRPr="00E16D64">
              <w:rPr>
                <w:rFonts w:ascii="Times New Roman" w:hAnsi="Times New Roman" w:cs="Times New Roman"/>
                <w:b/>
                <w:bCs/>
                <w:color w:val="FF0000"/>
                <w:sz w:val="36"/>
                <w:szCs w:val="36"/>
                <w:rtl/>
              </w:rPr>
              <w:t xml:space="preserve"> </w:t>
            </w:r>
            <w:r w:rsidRPr="00E16D64">
              <w:rPr>
                <w:rFonts w:ascii="Times New Roman" w:hAnsi="Times New Roman" w:cs="Times New Roman" w:hint="cs"/>
                <w:b/>
                <w:bCs/>
                <w:color w:val="FF0000"/>
                <w:sz w:val="36"/>
                <w:szCs w:val="36"/>
                <w:rtl/>
              </w:rPr>
              <w:t>مرکز</w:t>
            </w:r>
            <w:r w:rsidRPr="00E16D64">
              <w:rPr>
                <w:rFonts w:ascii="Times New Roman" w:hAnsi="Times New Roman" w:cs="Times New Roman"/>
                <w:b/>
                <w:bCs/>
                <w:color w:val="FF0000"/>
                <w:sz w:val="36"/>
                <w:szCs w:val="36"/>
                <w:rtl/>
              </w:rPr>
              <w:t xml:space="preserve"> </w:t>
            </w:r>
            <w:r w:rsidRPr="00E16D64">
              <w:rPr>
                <w:rFonts w:ascii="Times New Roman" w:hAnsi="Times New Roman" w:cs="Times New Roman" w:hint="cs"/>
                <w:b/>
                <w:bCs/>
                <w:color w:val="FF0000"/>
                <w:sz w:val="36"/>
                <w:szCs w:val="36"/>
                <w:rtl/>
              </w:rPr>
              <w:t>در</w:t>
            </w:r>
            <w:r w:rsidRPr="00E16D64">
              <w:rPr>
                <w:rFonts w:ascii="Times New Roman" w:hAnsi="Times New Roman" w:cs="Times New Roman"/>
                <w:b/>
                <w:bCs/>
                <w:color w:val="FF0000"/>
                <w:sz w:val="36"/>
                <w:szCs w:val="36"/>
                <w:rtl/>
              </w:rPr>
              <w:t xml:space="preserve"> </w:t>
            </w:r>
            <w:r w:rsidRPr="00E16D64">
              <w:rPr>
                <w:rFonts w:ascii="Times New Roman" w:hAnsi="Times New Roman" w:cs="Times New Roman" w:hint="cs"/>
                <w:b/>
                <w:bCs/>
                <w:color w:val="FF0000"/>
                <w:sz w:val="36"/>
                <w:szCs w:val="36"/>
                <w:rtl/>
              </w:rPr>
              <w:t>سال</w:t>
            </w:r>
            <w:r w:rsidRPr="00E16D64">
              <w:rPr>
                <w:rFonts w:ascii="Times New Roman" w:hAnsi="Times New Roman" w:cs="Times New Roman"/>
                <w:b/>
                <w:bCs/>
                <w:color w:val="FF0000"/>
                <w:sz w:val="36"/>
                <w:szCs w:val="36"/>
                <w:rtl/>
              </w:rPr>
              <w:t xml:space="preserve"> 1396</w:t>
            </w:r>
          </w:p>
        </w:tc>
      </w:tr>
      <w:tr w:rsidR="00DE6026" w:rsidRPr="00FC3477" w:rsidTr="00DE6026">
        <w:trPr>
          <w:trHeight w:val="1065"/>
        </w:trPr>
        <w:tc>
          <w:tcPr>
            <w:tcW w:w="397"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ردیف</w:t>
            </w:r>
          </w:p>
        </w:tc>
        <w:tc>
          <w:tcPr>
            <w:tcW w:w="1400"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عنوان طرح تحقیقاتی</w:t>
            </w:r>
          </w:p>
        </w:tc>
        <w:tc>
          <w:tcPr>
            <w:tcW w:w="489"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سال تصویب</w:t>
            </w:r>
          </w:p>
        </w:tc>
        <w:tc>
          <w:tcPr>
            <w:tcW w:w="508"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میزان پیشرفت کار</w:t>
            </w:r>
          </w:p>
        </w:tc>
        <w:tc>
          <w:tcPr>
            <w:tcW w:w="1103" w:type="pct"/>
            <w:gridSpan w:val="2"/>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بودجه (میلیون ریال)</w:t>
            </w:r>
          </w:p>
        </w:tc>
        <w:tc>
          <w:tcPr>
            <w:tcW w:w="1103" w:type="pct"/>
            <w:gridSpan w:val="2"/>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نحوه همکاری با موسسات</w:t>
            </w:r>
          </w:p>
        </w:tc>
      </w:tr>
      <w:tr w:rsidR="00DE6026" w:rsidRPr="00FC3477" w:rsidTr="00DE6026">
        <w:trPr>
          <w:trHeight w:val="570"/>
        </w:trPr>
        <w:tc>
          <w:tcPr>
            <w:tcW w:w="397"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1400"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489"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508"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1103" w:type="pct"/>
            <w:gridSpan w:val="2"/>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559"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داخلی</w:t>
            </w:r>
          </w:p>
        </w:tc>
        <w:tc>
          <w:tcPr>
            <w:tcW w:w="544" w:type="pct"/>
            <w:vMerge w:val="restar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خارجی</w:t>
            </w:r>
          </w:p>
        </w:tc>
      </w:tr>
      <w:tr w:rsidR="00DE6026" w:rsidRPr="00FC3477" w:rsidTr="00DE6026">
        <w:trPr>
          <w:trHeight w:val="180"/>
        </w:trPr>
        <w:tc>
          <w:tcPr>
            <w:tcW w:w="397"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1400"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489"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508"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511" w:type="pct"/>
          </w:tcPr>
          <w:p w:rsidR="00DE6026"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مرکز/</w:t>
            </w:r>
          </w:p>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دانشگاه</w:t>
            </w:r>
          </w:p>
        </w:tc>
        <w:tc>
          <w:tcPr>
            <w:tcW w:w="592"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جذب گرنت</w:t>
            </w:r>
          </w:p>
        </w:tc>
        <w:tc>
          <w:tcPr>
            <w:tcW w:w="559"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c>
          <w:tcPr>
            <w:tcW w:w="544" w:type="pct"/>
            <w:vMerge/>
          </w:tcPr>
          <w:p w:rsidR="00DE6026" w:rsidRPr="00FC3477" w:rsidRDefault="00DE6026" w:rsidP="00FC3477">
            <w:pPr>
              <w:bidi/>
              <w:spacing w:after="200" w:line="276" w:lineRule="auto"/>
              <w:rPr>
                <w:rFonts w:ascii="Times New Roman" w:hAnsi="Times New Roman" w:cs="Times New Roman"/>
                <w:b/>
                <w:bCs/>
                <w:sz w:val="28"/>
                <w:szCs w:val="28"/>
                <w:rtl/>
              </w:rPr>
            </w:pP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Pr>
            </w:pPr>
            <w:r w:rsidRPr="00FC3477">
              <w:rPr>
                <w:rFonts w:ascii="Times New Roman" w:hAnsi="Times New Roman" w:cs="Times New Roman"/>
                <w:b/>
                <w:bCs/>
                <w:sz w:val="28"/>
                <w:szCs w:val="28"/>
              </w:rPr>
              <w:t>1</w:t>
            </w:r>
          </w:p>
        </w:tc>
        <w:tc>
          <w:tcPr>
            <w:tcW w:w="1400"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بررسی عوامل خطر ناهنجاری ها در معلولین زیر 15 سال نگهداری شده در بهزیستی شهرکرد</w:t>
            </w:r>
          </w:p>
        </w:tc>
        <w:tc>
          <w:tcPr>
            <w:tcW w:w="489"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100</w:t>
            </w:r>
            <w:r w:rsidRPr="00FC3477">
              <w:rPr>
                <w:rFonts w:ascii="Times New Roman" w:hAnsi="Times New Roman" w:cs="Times New Roman"/>
                <w:sz w:val="28"/>
                <w:szCs w:val="28"/>
              </w:rPr>
              <w:t xml:space="preserve"> </w:t>
            </w:r>
            <w:r w:rsidRPr="00FC3477">
              <w:rPr>
                <w:rFonts w:ascii="Times New Roman" w:hAnsi="Times New Roman" w:cs="Times New Roman"/>
                <w:sz w:val="28"/>
                <w:szCs w:val="28"/>
                <w:rtl/>
              </w:rPr>
              <w:t>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2</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کاربرد الگوی اعتقاد بهداشتی در ارتقاء سلامت عمومی زنان یائسه شهرکرد</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بیش از 75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3</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بررسی کیفیت زندگی حرفه ای و شاخص توانایی انجام کار در پرستاران شاغل در بیمارستان های آموزشی شهرکرد در سال 1396</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4</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بررسی تاثیر کلاسهای آمادگی زایمان بر اضطراب سلامت ‌زنان باردار نخست‌زا مراجعه کننده به درمانگاههای مراکز جامع خدمات بهداشتی شهرکرد در سال 1396</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5</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 xml:space="preserve">بررسی روایی و پایایی پرسشنامه کیفیت زندگی </w:t>
            </w:r>
            <w:r w:rsidRPr="00FC3477">
              <w:rPr>
                <w:rFonts w:ascii="Times New Roman" w:hAnsi="Times New Roman" w:cs="Times New Roman"/>
                <w:sz w:val="28"/>
                <w:szCs w:val="28"/>
                <w:rtl/>
              </w:rPr>
              <w:lastRenderedPageBreak/>
              <w:t>بازماندگان سرطان در زنان ایرانی مبتلا به سرطان پستان</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lastRenderedPageBreak/>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 xml:space="preserve">مرکز دانشگاه </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lastRenderedPageBreak/>
              <w:t>6</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بررسی عوامل موثر بر مرگ مغزی در استان جهارمحال و بختیاری از سال 1390 تا 1396</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Pr>
            </w:pPr>
            <w:r w:rsidRPr="00FC3477">
              <w:rPr>
                <w:rFonts w:ascii="Times New Roman" w:hAnsi="Times New Roman" w:cs="Times New Roman"/>
                <w:b/>
                <w:bCs/>
                <w:sz w:val="28"/>
                <w:szCs w:val="28"/>
              </w:rPr>
              <w:t>7</w:t>
            </w:r>
          </w:p>
        </w:tc>
        <w:tc>
          <w:tcPr>
            <w:tcW w:w="1400"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Pr>
              <w:t xml:space="preserve"> </w:t>
            </w:r>
            <w:r w:rsidRPr="00FC3477">
              <w:rPr>
                <w:rFonts w:ascii="Times New Roman" w:hAnsi="Times New Roman" w:cs="Times New Roman"/>
                <w:sz w:val="28"/>
                <w:szCs w:val="28"/>
                <w:rtl/>
              </w:rPr>
              <w:t>بررسی تأثیر ورزشهای کف لگن بر بی اختیاری ادراری و کیفیت زندگی بیماران مبتلا به نارسایی قلبی</w:t>
            </w:r>
          </w:p>
        </w:tc>
        <w:tc>
          <w:tcPr>
            <w:tcW w:w="489"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بیش از 75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8</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بررسی توزیع فراوانی عوامل خطر سرطان پستان و ارتباط آن با تهدید درک شده و استفاده از روش‌های غربالگری سرطان پستان در زنان بالای 40 سال شهر شهرکرد در سال 1397</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 xml:space="preserve">100 درصد </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 xml:space="preserve">داخلی </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9</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تجربه زیسته پرستاران در مدیریت حوادث و بلایای طبیعی : یک مطالعه کیفی</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r w:rsidR="00DE6026" w:rsidRPr="00FC3477" w:rsidTr="00DE6026">
        <w:tc>
          <w:tcPr>
            <w:tcW w:w="397" w:type="pct"/>
          </w:tcPr>
          <w:p w:rsidR="00DE6026" w:rsidRPr="00FC3477" w:rsidRDefault="00DE6026" w:rsidP="00FC3477">
            <w:pPr>
              <w:bidi/>
              <w:spacing w:after="200" w:line="276" w:lineRule="auto"/>
              <w:rPr>
                <w:rFonts w:ascii="Times New Roman" w:hAnsi="Times New Roman" w:cs="Times New Roman"/>
                <w:b/>
                <w:bCs/>
                <w:sz w:val="28"/>
                <w:szCs w:val="28"/>
                <w:rtl/>
              </w:rPr>
            </w:pPr>
            <w:r w:rsidRPr="00FC3477">
              <w:rPr>
                <w:rFonts w:ascii="Times New Roman" w:hAnsi="Times New Roman" w:cs="Times New Roman"/>
                <w:b/>
                <w:bCs/>
                <w:sz w:val="28"/>
                <w:szCs w:val="28"/>
                <w:rtl/>
              </w:rPr>
              <w:t>10</w:t>
            </w:r>
          </w:p>
        </w:tc>
        <w:tc>
          <w:tcPr>
            <w:tcW w:w="1400"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بررسی مقایسه ای شیوع دیابت حاملگی بر اساس معیارهای تست تحمل گلوکز خوراکی 75 گرمی نسبت به تست تحمل خوراکی گلوکز 100 گرمی در زنان حامله مراجعه کننده به کلینیک امام علی (ع) و حضرت رسول و درمانگاه زنان بیمارستان هاجر شهرکرد در سال 97-1396</w:t>
            </w:r>
          </w:p>
        </w:tc>
        <w:tc>
          <w:tcPr>
            <w:tcW w:w="489"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1396</w:t>
            </w:r>
          </w:p>
        </w:tc>
        <w:tc>
          <w:tcPr>
            <w:tcW w:w="508" w:type="pct"/>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100 درصد</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مرکز دانشگاه</w:t>
            </w:r>
          </w:p>
        </w:tc>
        <w:tc>
          <w:tcPr>
            <w:tcW w:w="1103" w:type="pct"/>
            <w:gridSpan w:val="2"/>
          </w:tcPr>
          <w:p w:rsidR="00DE6026" w:rsidRPr="00FC3477" w:rsidRDefault="00DE6026" w:rsidP="00FC3477">
            <w:pPr>
              <w:bidi/>
              <w:spacing w:after="200" w:line="276" w:lineRule="auto"/>
              <w:rPr>
                <w:rFonts w:ascii="Times New Roman" w:hAnsi="Times New Roman" w:cs="Times New Roman"/>
                <w:sz w:val="28"/>
                <w:szCs w:val="28"/>
                <w:rtl/>
              </w:rPr>
            </w:pPr>
            <w:r w:rsidRPr="00FC3477">
              <w:rPr>
                <w:rFonts w:ascii="Times New Roman" w:hAnsi="Times New Roman" w:cs="Times New Roman"/>
                <w:sz w:val="28"/>
                <w:szCs w:val="28"/>
                <w:rtl/>
              </w:rPr>
              <w:t>داخلی</w:t>
            </w:r>
          </w:p>
        </w:tc>
      </w:tr>
    </w:tbl>
    <w:p w:rsidR="00664DA6" w:rsidRDefault="00664DA6"/>
    <w:sectPr w:rsidR="00664DA6" w:rsidSect="00FC3477">
      <w:pgSz w:w="11906" w:h="16838"/>
      <w:pgMar w:top="1134" w:right="1440" w:bottom="1134"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77"/>
    <w:rsid w:val="00664DA6"/>
    <w:rsid w:val="00DE6026"/>
    <w:rsid w:val="00E16D64"/>
    <w:rsid w:val="00F41E2C"/>
    <w:rsid w:val="00FC3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Karimi</dc:creator>
  <cp:lastModifiedBy>Zahra Karimi</cp:lastModifiedBy>
  <cp:revision>3</cp:revision>
  <dcterms:created xsi:type="dcterms:W3CDTF">2021-04-18T08:23:00Z</dcterms:created>
  <dcterms:modified xsi:type="dcterms:W3CDTF">2021-04-18T09:22:00Z</dcterms:modified>
</cp:coreProperties>
</file>